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0039D" w14:textId="77BF2B4B" w:rsidR="008C529B" w:rsidRPr="00CB3390" w:rsidRDefault="00CB3390" w:rsidP="4665250A">
      <w:pPr>
        <w:tabs>
          <w:tab w:val="left" w:pos="-1080"/>
          <w:tab w:val="left" w:pos="-720"/>
          <w:tab w:val="left" w:pos="1080"/>
        </w:tabs>
        <w:jc w:val="center"/>
        <w:rPr>
          <w:rFonts w:eastAsia="Times New Roman" w:cstheme="minorHAnsi"/>
          <w:b/>
          <w:bCs/>
          <w:snapToGrid w:val="0"/>
          <w:szCs w:val="24"/>
          <w:lang w:val="en-US"/>
        </w:rPr>
      </w:pPr>
      <w:r>
        <w:rPr>
          <w:rFonts w:cstheme="minorHAnsi"/>
          <w:b/>
          <w:bCs/>
          <w:snapToGrid w:val="0"/>
          <w:szCs w:val="24"/>
          <w:lang w:val="en-US"/>
        </w:rPr>
        <w:t>PAM REHABILITATION HOSPTIAL OF ROUND ROCK</w:t>
      </w:r>
    </w:p>
    <w:p w14:paraId="003783F1" w14:textId="77777777" w:rsidR="008C529B" w:rsidRPr="0006418A" w:rsidRDefault="008C529B" w:rsidP="008C529B">
      <w:pPr>
        <w:tabs>
          <w:tab w:val="left" w:pos="-1080"/>
          <w:tab w:val="left" w:pos="-720"/>
          <w:tab w:val="left" w:pos="1080"/>
        </w:tabs>
        <w:jc w:val="center"/>
        <w:rPr>
          <w:rFonts w:eastAsia="Times New Roman" w:cstheme="minorHAnsi"/>
          <w:b/>
          <w:snapToGrid w:val="0"/>
          <w:szCs w:val="24"/>
          <w:u w:val="single"/>
        </w:rPr>
      </w:pPr>
    </w:p>
    <w:p w14:paraId="6CCD6939" w14:textId="77777777" w:rsidR="008C529B" w:rsidRPr="0006418A" w:rsidRDefault="008C529B" w:rsidP="008C529B">
      <w:pPr>
        <w:jc w:val="center"/>
        <w:rPr>
          <w:rFonts w:eastAsia="Times New Roman" w:cstheme="minorHAnsi"/>
          <w:snapToGrid w:val="0"/>
          <w:szCs w:val="24"/>
        </w:rPr>
      </w:pPr>
      <w:r w:rsidRPr="0006418A">
        <w:rPr>
          <w:rFonts w:cstheme="minorHAnsi"/>
          <w:b/>
          <w:snapToGrid w:val="0"/>
          <w:szCs w:val="24"/>
          <w:u w:val="single"/>
        </w:rPr>
        <w:t>TÍNH TOÁN SỐ TIỀN THƯỜNG TÍNH TRÊN HÓA ĐƠN</w:t>
      </w:r>
    </w:p>
    <w:p w14:paraId="1F4AA426" w14:textId="19AE33F9" w:rsidR="008C529B" w:rsidRPr="0006418A" w:rsidRDefault="00910E72" w:rsidP="008C529B">
      <w:pPr>
        <w:jc w:val="center"/>
        <w:rPr>
          <w:rFonts w:eastAsia="Times New Roman" w:cstheme="minorHAnsi"/>
          <w:snapToGrid w:val="0"/>
          <w:szCs w:val="24"/>
        </w:rPr>
      </w:pPr>
      <w:r w:rsidRPr="0006418A">
        <w:rPr>
          <w:rFonts w:cstheme="minorHAnsi"/>
          <w:szCs w:val="24"/>
        </w:rPr>
        <w:t>01 Tháng Bảy 2020</w:t>
      </w:r>
    </w:p>
    <w:p w14:paraId="641DEE52" w14:textId="711E5C8E" w:rsidR="008C529B" w:rsidRPr="0006418A" w:rsidRDefault="008C529B" w:rsidP="4665250A">
      <w:pPr>
        <w:jc w:val="both"/>
        <w:rPr>
          <w:rFonts w:eastAsia="Times New Roman" w:cstheme="minorHAnsi"/>
          <w:snapToGrid w:val="0"/>
          <w:szCs w:val="24"/>
        </w:rPr>
      </w:pPr>
    </w:p>
    <w:p w14:paraId="6B4CBCEB" w14:textId="37695CD1" w:rsidR="008C529B" w:rsidRPr="0006418A" w:rsidRDefault="00CB3390" w:rsidP="008C529B">
      <w:pPr>
        <w:jc w:val="both"/>
        <w:rPr>
          <w:rFonts w:eastAsia="Times New Roman" w:cstheme="minorHAnsi"/>
          <w:snapToGrid w:val="0"/>
          <w:color w:val="000000"/>
          <w:szCs w:val="24"/>
        </w:rPr>
      </w:pPr>
      <w:r>
        <w:rPr>
          <w:rFonts w:cstheme="minorHAnsi"/>
          <w:snapToGrid w:val="0"/>
          <w:szCs w:val="24"/>
          <w:lang w:val="en-US"/>
        </w:rPr>
        <w:t>PAM Rehabilitation Hospital of Round ROck</w:t>
      </w:r>
      <w:r w:rsidR="00674B56" w:rsidRPr="0006418A">
        <w:rPr>
          <w:rFonts w:cstheme="minorHAnsi"/>
          <w:snapToGrid w:val="0"/>
          <w:szCs w:val="24"/>
        </w:rPr>
        <w:t xml:space="preserve"> tính toán tỷ lệ phần trăm cho AGB bằng phương pháp “xem lại” và bao gồm các dịch vụ có tính phí của Medicare cùng tất cả các hãng bảo hiểm y tế tư nhân thanh toán cho các yêu cầu bồi thường của Tổ chức, tất cả đều chiếu theo IRS </w:t>
      </w:r>
      <w:r w:rsidR="00674B56" w:rsidRPr="0006418A">
        <w:rPr>
          <w:rFonts w:cstheme="minorHAnsi"/>
          <w:snapToGrid w:val="0"/>
          <w:color w:val="000000"/>
          <w:szCs w:val="24"/>
        </w:rPr>
        <w:t>Điều luật Mục 1.501(r)-5(b)(3), 1.501(r)-5(b)(3)(ii)(B) và 1.501(r)-5(b)(3)(iii).  Chi tiết về cách tính này và tỷ lệ phần trăm AGB được mô tả bên dưới.</w:t>
      </w:r>
    </w:p>
    <w:p w14:paraId="79F86A3F" w14:textId="77777777" w:rsidR="008C529B" w:rsidRPr="0006418A" w:rsidRDefault="008C529B" w:rsidP="008C529B">
      <w:pPr>
        <w:jc w:val="both"/>
        <w:rPr>
          <w:rFonts w:eastAsia="Times New Roman" w:cstheme="minorHAnsi"/>
          <w:snapToGrid w:val="0"/>
          <w:color w:val="000000"/>
          <w:szCs w:val="24"/>
        </w:rPr>
      </w:pPr>
    </w:p>
    <w:p w14:paraId="4A10DBDC" w14:textId="7D985A2B" w:rsidR="008C529B" w:rsidRPr="0006418A" w:rsidRDefault="008C529B" w:rsidP="008C529B">
      <w:pPr>
        <w:jc w:val="both"/>
        <w:rPr>
          <w:rFonts w:eastAsia="Times New Roman" w:cstheme="minorHAnsi"/>
          <w:snapToGrid w:val="0"/>
          <w:szCs w:val="24"/>
        </w:rPr>
      </w:pPr>
      <w:r w:rsidRPr="0006418A">
        <w:rPr>
          <w:rFonts w:cstheme="minorHAnsi"/>
          <w:snapToGrid w:val="0"/>
          <w:color w:val="000000"/>
          <w:szCs w:val="24"/>
        </w:rPr>
        <w:t xml:space="preserve">Tỷ lệ phần trăm AGB cho </w:t>
      </w:r>
      <w:r w:rsidRPr="0006418A">
        <w:rPr>
          <w:rFonts w:cstheme="minorHAnsi"/>
          <w:snapToGrid w:val="0"/>
          <w:szCs w:val="24"/>
        </w:rPr>
        <w:t>Ascension Seton như sau:</w:t>
      </w:r>
    </w:p>
    <w:p w14:paraId="03CF7332" w14:textId="77777777" w:rsidR="008C529B" w:rsidRPr="0006418A" w:rsidRDefault="008C529B" w:rsidP="008C529B">
      <w:pPr>
        <w:jc w:val="both"/>
        <w:rPr>
          <w:rFonts w:eastAsia="Times New Roman" w:cstheme="minorHAnsi"/>
          <w:snapToGrid w:val="0"/>
          <w:szCs w:val="24"/>
        </w:rPr>
      </w:pPr>
    </w:p>
    <w:p w14:paraId="65ECDFFD" w14:textId="52255161" w:rsidR="00413816" w:rsidRPr="00CB3390" w:rsidRDefault="008C529B" w:rsidP="008C529B">
      <w:pPr>
        <w:ind w:left="540"/>
        <w:jc w:val="both"/>
        <w:rPr>
          <w:rFonts w:eastAsia="Times New Roman" w:cstheme="minorHAnsi"/>
          <w:snapToGrid w:val="0"/>
          <w:szCs w:val="24"/>
          <w:lang w:val="en-US"/>
        </w:rPr>
      </w:pPr>
      <w:r w:rsidRPr="0006418A">
        <w:rPr>
          <w:rFonts w:cstheme="minorHAnsi"/>
          <w:snapToGrid w:val="0"/>
          <w:szCs w:val="24"/>
        </w:rPr>
        <w:t>AGB:</w:t>
      </w:r>
      <w:r w:rsidRPr="0006418A">
        <w:rPr>
          <w:rFonts w:cstheme="minorHAnsi"/>
          <w:snapToGrid w:val="0"/>
          <w:szCs w:val="24"/>
        </w:rPr>
        <w:tab/>
      </w:r>
      <w:r w:rsidR="00CB3390">
        <w:rPr>
          <w:rFonts w:cstheme="minorHAnsi"/>
          <w:snapToGrid w:val="0"/>
          <w:szCs w:val="24"/>
          <w:lang w:val="en-US"/>
        </w:rPr>
        <w:t>51.8%</w:t>
      </w:r>
    </w:p>
    <w:p w14:paraId="48830AB3" w14:textId="5B399D17" w:rsidR="008C529B" w:rsidRPr="0006418A" w:rsidRDefault="008C529B" w:rsidP="008C529B">
      <w:pPr>
        <w:ind w:left="540"/>
        <w:jc w:val="both"/>
        <w:rPr>
          <w:rFonts w:eastAsia="Times New Roman" w:cstheme="minorHAnsi"/>
          <w:snapToGrid w:val="0"/>
          <w:szCs w:val="24"/>
        </w:rPr>
      </w:pPr>
    </w:p>
    <w:p w14:paraId="663E3E15" w14:textId="77777777" w:rsidR="008C529B" w:rsidRPr="0006418A" w:rsidRDefault="008C529B" w:rsidP="008C529B">
      <w:pPr>
        <w:jc w:val="both"/>
        <w:rPr>
          <w:rFonts w:eastAsia="Times New Roman" w:cstheme="minorHAnsi"/>
          <w:snapToGrid w:val="0"/>
          <w:color w:val="000000"/>
          <w:szCs w:val="20"/>
        </w:rPr>
      </w:pPr>
    </w:p>
    <w:p w14:paraId="7CE08949" w14:textId="77777777" w:rsidR="008C529B" w:rsidRPr="0006418A" w:rsidRDefault="008C529B" w:rsidP="008C529B">
      <w:pPr>
        <w:tabs>
          <w:tab w:val="left" w:pos="-1080"/>
          <w:tab w:val="left" w:pos="-720"/>
          <w:tab w:val="left" w:pos="1080"/>
        </w:tabs>
        <w:jc w:val="both"/>
        <w:rPr>
          <w:rFonts w:eastAsia="Times New Roman" w:cstheme="minorHAnsi"/>
          <w:snapToGrid w:val="0"/>
          <w:color w:val="000000"/>
          <w:szCs w:val="24"/>
        </w:rPr>
      </w:pPr>
      <w:r w:rsidRPr="0006418A">
        <w:rPr>
          <w:rFonts w:cstheme="minorHAnsi"/>
          <w:snapToGrid w:val="0"/>
          <w:color w:val="000000"/>
          <w:szCs w:val="24"/>
        </w:rPr>
        <w:t xml:space="preserve">Tỷ lệ phần trăm AGB này được tính bằng cách chia tổng số tiền của tất cả các yêu cầu bồi thường của cơ sở bệnh viện đối với các dịch vụ chăm sóc khẩn cấp và cần thiết về mặt y tế khác được chương trình tính phí dịch vụ của Medicare và tất cả các công ty bảo hiểm y tế tư nhân chấp thuận thanh toán cho tổng các khoản chi phí gộp liên quan đến các yêu cầu bồi thường bảo hiểm đó.  Các yêu cầu bồi thường bảo hiểm duy nhất được sử dụng cho mục đích xác định AGB là các yêu cầu được chấp thuận bởi một công ty bảo hiểm y tế trong khoảng thời gian 12 tháng </w:t>
      </w:r>
      <w:r w:rsidRPr="0006418A">
        <w:rPr>
          <w:rFonts w:cstheme="minorHAnsi"/>
          <w:snapToGrid w:val="0"/>
          <w:color w:val="000000"/>
          <w:szCs w:val="24"/>
        </w:rPr>
        <w:lastRenderedPageBreak/>
        <w:t>trước khi tính AGB (không phải các yêu cầu bồi thường bảo hiểm liên quan đến sự chăm sóc được cung cấp trước 12 tháng này).</w:t>
      </w:r>
    </w:p>
    <w:p w14:paraId="78F47127" w14:textId="34E78797" w:rsidR="008C529B" w:rsidRPr="0006418A" w:rsidDel="00A83E87" w:rsidRDefault="008C529B" w:rsidP="4665250A">
      <w:pPr>
        <w:jc w:val="both"/>
        <w:rPr>
          <w:rFonts w:eastAsia="Times New Roman" w:cstheme="minorHAnsi"/>
          <w:szCs w:val="24"/>
        </w:rPr>
      </w:pPr>
      <w:bookmarkStart w:id="0" w:name="_GoBack"/>
      <w:bookmarkEnd w:id="0"/>
    </w:p>
    <w:sectPr w:rsidR="008C529B" w:rsidRPr="0006418A" w:rsidDel="00A83E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AA46" w14:textId="77777777" w:rsidR="00A269F8" w:rsidRDefault="00A269F8" w:rsidP="008C529B">
      <w:r>
        <w:separator/>
      </w:r>
    </w:p>
  </w:endnote>
  <w:endnote w:type="continuationSeparator" w:id="0">
    <w:p w14:paraId="631D8A69" w14:textId="77777777" w:rsidR="00A269F8" w:rsidRDefault="00A269F8" w:rsidP="008C5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F98C7" w14:textId="77777777" w:rsidR="00A269F8" w:rsidRDefault="00A269F8" w:rsidP="008C529B">
      <w:r>
        <w:separator/>
      </w:r>
    </w:p>
  </w:footnote>
  <w:footnote w:type="continuationSeparator" w:id="0">
    <w:p w14:paraId="128ADF14" w14:textId="77777777" w:rsidR="00A269F8" w:rsidRDefault="00A269F8" w:rsidP="008C5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9B"/>
    <w:rsid w:val="0006418A"/>
    <w:rsid w:val="00093C49"/>
    <w:rsid w:val="00170C36"/>
    <w:rsid w:val="00332279"/>
    <w:rsid w:val="00413816"/>
    <w:rsid w:val="00432B43"/>
    <w:rsid w:val="00487D47"/>
    <w:rsid w:val="00674B56"/>
    <w:rsid w:val="007728F4"/>
    <w:rsid w:val="007B4C06"/>
    <w:rsid w:val="00806CE8"/>
    <w:rsid w:val="0089058E"/>
    <w:rsid w:val="008C529B"/>
    <w:rsid w:val="00910E72"/>
    <w:rsid w:val="00A269F8"/>
    <w:rsid w:val="00A83E87"/>
    <w:rsid w:val="00AF0097"/>
    <w:rsid w:val="00CB3390"/>
    <w:rsid w:val="40FAAE1F"/>
    <w:rsid w:val="4665250A"/>
    <w:rsid w:val="46BB0E37"/>
    <w:rsid w:val="572B70F8"/>
    <w:rsid w:val="6209FA7A"/>
    <w:rsid w:val="795FF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3588CB"/>
  <w15:chartTrackingRefBased/>
  <w15:docId w15:val="{BA104206-C089-4C28-B3BC-23A78FF61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9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529B"/>
    <w:rPr>
      <w:sz w:val="20"/>
      <w:szCs w:val="20"/>
    </w:rPr>
  </w:style>
  <w:style w:type="character" w:customStyle="1" w:styleId="FootnoteTextChar">
    <w:name w:val="Footnote Text Char"/>
    <w:basedOn w:val="DefaultParagraphFont"/>
    <w:link w:val="FootnoteText"/>
    <w:uiPriority w:val="99"/>
    <w:semiHidden/>
    <w:rsid w:val="008C529B"/>
    <w:rPr>
      <w:sz w:val="20"/>
      <w:szCs w:val="20"/>
    </w:rPr>
  </w:style>
  <w:style w:type="character" w:styleId="FootnoteReference">
    <w:name w:val="footnote reference"/>
    <w:basedOn w:val="DefaultParagraphFont"/>
    <w:semiHidden/>
    <w:unhideWhenUsed/>
    <w:rsid w:val="008C529B"/>
    <w:rPr>
      <w:vertAlign w:val="superscript"/>
    </w:rPr>
  </w:style>
  <w:style w:type="table" w:styleId="TableGrid">
    <w:name w:val="Table Grid"/>
    <w:basedOn w:val="TableNormal"/>
    <w:uiPriority w:val="59"/>
    <w:rsid w:val="0041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0097"/>
    <w:rPr>
      <w:rFonts w:ascii="Arial" w:hAnsi="Segoe UI" w:cs="Segoe UI"/>
      <w:sz w:val="18"/>
      <w:szCs w:val="18"/>
    </w:rPr>
  </w:style>
  <w:style w:type="character" w:customStyle="1" w:styleId="BalloonTextChar">
    <w:name w:val="Balloon Text Char"/>
    <w:basedOn w:val="DefaultParagraphFont"/>
    <w:link w:val="BalloonText"/>
    <w:uiPriority w:val="99"/>
    <w:semiHidden/>
    <w:rsid w:val="00AF0097"/>
    <w:rPr>
      <w:rFonts w:ascii="Arial" w:hAnsi="Segoe UI" w:cs="Segoe UI"/>
      <w:sz w:val="18"/>
      <w:szCs w:val="18"/>
    </w:rPr>
  </w:style>
  <w:style w:type="paragraph" w:styleId="Header">
    <w:name w:val="header"/>
    <w:basedOn w:val="Normal"/>
    <w:link w:val="HeaderChar"/>
    <w:uiPriority w:val="99"/>
    <w:unhideWhenUsed/>
    <w:rsid w:val="007B4C0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7B4C06"/>
    <w:rPr>
      <w:sz w:val="18"/>
      <w:szCs w:val="18"/>
    </w:rPr>
  </w:style>
  <w:style w:type="paragraph" w:styleId="Footer">
    <w:name w:val="footer"/>
    <w:basedOn w:val="Normal"/>
    <w:link w:val="FooterChar"/>
    <w:uiPriority w:val="99"/>
    <w:unhideWhenUsed/>
    <w:rsid w:val="007B4C06"/>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B4C0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39874">
      <w:bodyDiv w:val="1"/>
      <w:marLeft w:val="0"/>
      <w:marRight w:val="0"/>
      <w:marTop w:val="0"/>
      <w:marBottom w:val="0"/>
      <w:divBdr>
        <w:top w:val="none" w:sz="0" w:space="0" w:color="auto"/>
        <w:left w:val="none" w:sz="0" w:space="0" w:color="auto"/>
        <w:bottom w:val="none" w:sz="0" w:space="0" w:color="auto"/>
        <w:right w:val="none" w:sz="0" w:space="0" w:color="auto"/>
      </w:divBdr>
    </w:div>
    <w:div w:id="74371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6D15C4FD58B6F44801A1C848A4E9929" ma:contentTypeVersion="9" ma:contentTypeDescription="Create a new document." ma:contentTypeScope="" ma:versionID="13fbb8644a50efc604cc27c2242f829c">
  <xsd:schema xmlns:xsd="http://www.w3.org/2001/XMLSchema" xmlns:xs="http://www.w3.org/2001/XMLSchema" xmlns:p="http://schemas.microsoft.com/office/2006/metadata/properties" xmlns:ns3="26bffc3d-74a4-44fa-abad-89e2780b3c08" xmlns:ns4="2f7e9189-faad-4b5d-891d-a56f67d41403" targetNamespace="http://schemas.microsoft.com/office/2006/metadata/properties" ma:root="true" ma:fieldsID="6d32635a446a71e43b22aa1206061d3e" ns3:_="" ns4:_="">
    <xsd:import namespace="26bffc3d-74a4-44fa-abad-89e2780b3c08"/>
    <xsd:import namespace="2f7e9189-faad-4b5d-891d-a56f67d414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bffc3d-74a4-44fa-abad-89e2780b3c0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7e9189-faad-4b5d-891d-a56f67d4140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F96E2-EB28-4180-A9FC-9DEA3260811B}">
  <ds:schemaRefs>
    <ds:schemaRef ds:uri="http://schemas.microsoft.com/sharepoint/v3/contenttype/forms"/>
  </ds:schemaRefs>
</ds:datastoreItem>
</file>

<file path=customXml/itemProps2.xml><?xml version="1.0" encoding="utf-8"?>
<ds:datastoreItem xmlns:ds="http://schemas.openxmlformats.org/officeDocument/2006/customXml" ds:itemID="{EBAD736E-4D74-4DB8-AA66-1D97C7EC1417}">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26bffc3d-74a4-44fa-abad-89e2780b3c08"/>
    <ds:schemaRef ds:uri="http://schemas.microsoft.com/office/infopath/2007/PartnerControls"/>
    <ds:schemaRef ds:uri="http://www.w3.org/XML/1998/namespace"/>
    <ds:schemaRef ds:uri="2f7e9189-faad-4b5d-891d-a56f67d41403"/>
    <ds:schemaRef ds:uri="http://schemas.microsoft.com/office/2006/metadata/properties"/>
  </ds:schemaRefs>
</ds:datastoreItem>
</file>

<file path=customXml/itemProps3.xml><?xml version="1.0" encoding="utf-8"?>
<ds:datastoreItem xmlns:ds="http://schemas.openxmlformats.org/officeDocument/2006/customXml" ds:itemID="{DE7B5276-19B6-40A5-8868-E75B6EFC1E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bffc3d-74a4-44fa-abad-89e2780b3c08"/>
    <ds:schemaRef ds:uri="2f7e9189-faad-4b5d-891d-a56f67d41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60DFD779</Template>
  <TotalTime>1</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 Arango</dc:creator>
  <cp:keywords/>
  <dc:description/>
  <cp:lastModifiedBy>Ilene Oken</cp:lastModifiedBy>
  <cp:revision>3</cp:revision>
  <dcterms:created xsi:type="dcterms:W3CDTF">2020-07-02T21:14:00Z</dcterms:created>
  <dcterms:modified xsi:type="dcterms:W3CDTF">2020-07-02T21:14:00Z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0x010100E6D15C4FD58B6F44801A1C848A4E9929</vt:lpwstr>
  </property>
</Properties>
</file>